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8672E" w14:textId="1EAC3972" w:rsidR="00FF5BDE" w:rsidRDefault="007936E4" w:rsidP="007936E4">
      <w:pPr>
        <w:jc w:val="center"/>
      </w:pPr>
      <w:r>
        <w:rPr>
          <w:noProof/>
          <w:lang w:val="en-GB"/>
        </w:rPr>
        <w:drawing>
          <wp:inline distT="0" distB="0" distL="0" distR="0" wp14:anchorId="34347366" wp14:editId="161AD6B9">
            <wp:extent cx="3789082" cy="91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30311" cy="928701"/>
                    </a:xfrm>
                    <a:prstGeom prst="rect">
                      <a:avLst/>
                    </a:prstGeom>
                  </pic:spPr>
                </pic:pic>
              </a:graphicData>
            </a:graphic>
          </wp:inline>
        </w:drawing>
      </w:r>
    </w:p>
    <w:p w14:paraId="502493C5" w14:textId="2645BFBD" w:rsidR="007936E4" w:rsidRDefault="007936E4" w:rsidP="007936E4">
      <w:pPr>
        <w:jc w:val="center"/>
      </w:pPr>
    </w:p>
    <w:p w14:paraId="322BDA0F" w14:textId="77777777" w:rsidR="00651A26" w:rsidRDefault="00651A26" w:rsidP="007936E4">
      <w:pPr>
        <w:jc w:val="center"/>
        <w:rPr>
          <w:b/>
          <w:bCs/>
        </w:rPr>
      </w:pPr>
    </w:p>
    <w:p w14:paraId="60BDCA3F" w14:textId="439EA67C" w:rsidR="007936E4" w:rsidRDefault="007936E4" w:rsidP="007936E4">
      <w:pPr>
        <w:jc w:val="center"/>
        <w:rPr>
          <w:b/>
          <w:bCs/>
        </w:rPr>
      </w:pPr>
      <w:r w:rsidRPr="007936E4">
        <w:rPr>
          <w:b/>
          <w:bCs/>
        </w:rPr>
        <w:t xml:space="preserve">The </w:t>
      </w:r>
      <w:r w:rsidR="001E3B69">
        <w:rPr>
          <w:b/>
          <w:bCs/>
        </w:rPr>
        <w:t xml:space="preserve">Young </w:t>
      </w:r>
      <w:r w:rsidRPr="007936E4">
        <w:rPr>
          <w:b/>
          <w:bCs/>
        </w:rPr>
        <w:t xml:space="preserve">IFA </w:t>
      </w:r>
      <w:r w:rsidR="001E3B69">
        <w:rPr>
          <w:b/>
          <w:bCs/>
        </w:rPr>
        <w:t>Network</w:t>
      </w:r>
      <w:r w:rsidRPr="007936E4">
        <w:rPr>
          <w:b/>
          <w:bCs/>
        </w:rPr>
        <w:t xml:space="preserve"> </w:t>
      </w:r>
      <w:r>
        <w:rPr>
          <w:b/>
          <w:bCs/>
        </w:rPr>
        <w:t>is pleased to invite</w:t>
      </w:r>
      <w:r w:rsidRPr="007936E4">
        <w:rPr>
          <w:b/>
          <w:bCs/>
        </w:rPr>
        <w:t xml:space="preserve"> you to the following online event:</w:t>
      </w:r>
    </w:p>
    <w:p w14:paraId="18CC7A7F" w14:textId="77777777" w:rsidR="00651A26" w:rsidRDefault="00651A26" w:rsidP="007936E4">
      <w:pPr>
        <w:jc w:val="center"/>
        <w:rPr>
          <w:b/>
          <w:bCs/>
        </w:rPr>
      </w:pPr>
    </w:p>
    <w:p w14:paraId="7BA99895" w14:textId="77777777" w:rsidR="007936E4" w:rsidRPr="007936E4" w:rsidRDefault="007936E4" w:rsidP="007936E4">
      <w:pPr>
        <w:jc w:val="center"/>
        <w:rPr>
          <w:b/>
          <w:bCs/>
        </w:rPr>
      </w:pPr>
    </w:p>
    <w:tbl>
      <w:tblPr>
        <w:tblStyle w:val="TableGrid"/>
        <w:tblW w:w="0" w:type="auto"/>
        <w:tblLook w:val="04A0" w:firstRow="1" w:lastRow="0" w:firstColumn="1" w:lastColumn="0" w:noHBand="0" w:noVBand="1"/>
      </w:tblPr>
      <w:tblGrid>
        <w:gridCol w:w="1413"/>
        <w:gridCol w:w="7597"/>
      </w:tblGrid>
      <w:tr w:rsidR="001E3B69" w14:paraId="5B73FA11" w14:textId="77777777" w:rsidTr="00A22961">
        <w:tc>
          <w:tcPr>
            <w:tcW w:w="1413" w:type="dxa"/>
          </w:tcPr>
          <w:p w14:paraId="4051C2C5" w14:textId="3FF3B500" w:rsidR="007936E4" w:rsidRDefault="007936E4" w:rsidP="007936E4">
            <w:r>
              <w:t>Topic</w:t>
            </w:r>
          </w:p>
        </w:tc>
        <w:tc>
          <w:tcPr>
            <w:tcW w:w="7597" w:type="dxa"/>
          </w:tcPr>
          <w:p w14:paraId="7B4E5A3D" w14:textId="63F5E5A1" w:rsidR="007936E4" w:rsidRDefault="001E3B69" w:rsidP="007936E4">
            <w:pPr>
              <w:rPr>
                <w:b/>
                <w:bCs/>
              </w:rPr>
            </w:pPr>
            <w:r>
              <w:rPr>
                <w:b/>
                <w:bCs/>
              </w:rPr>
              <w:t>International tax arbitration in a post-BEPS world</w:t>
            </w:r>
          </w:p>
          <w:p w14:paraId="1BA9C840" w14:textId="1E5E5909" w:rsidR="007936E4" w:rsidRDefault="001E3B69" w:rsidP="001E3B69">
            <w:r>
              <w:t>Panel discussion</w:t>
            </w:r>
          </w:p>
        </w:tc>
      </w:tr>
      <w:tr w:rsidR="00A22961" w14:paraId="3F8CEB88" w14:textId="77777777" w:rsidTr="00A22961">
        <w:tc>
          <w:tcPr>
            <w:tcW w:w="1413" w:type="dxa"/>
          </w:tcPr>
          <w:p w14:paraId="33132746" w14:textId="644ADC53" w:rsidR="00A22961" w:rsidRDefault="00A22961" w:rsidP="007936E4">
            <w:r>
              <w:t>Details</w:t>
            </w:r>
          </w:p>
        </w:tc>
        <w:tc>
          <w:tcPr>
            <w:tcW w:w="7597" w:type="dxa"/>
          </w:tcPr>
          <w:p w14:paraId="00D67D2E" w14:textId="74354D07" w:rsidR="00A22961" w:rsidRPr="00A22961" w:rsidRDefault="00A22961" w:rsidP="00A22961">
            <w:r>
              <w:t xml:space="preserve">Since the commencement of the OECD's project to address base erosion and profit shifting ('BEPS') in the early 2010s, there have been growing calls from the taxpayer community for mandatory binding arbitration to resolve the proliferation of double tax disputes, especially in the area of transfer pricing. With the signing </w:t>
            </w:r>
            <w:r w:rsidR="00E21A70">
              <w:t xml:space="preserve">and subsequent ratification </w:t>
            </w:r>
            <w:r>
              <w:t xml:space="preserve">of the </w:t>
            </w:r>
            <w:r w:rsidR="00E21A70">
              <w:t xml:space="preserve">OECD's </w:t>
            </w:r>
            <w:r>
              <w:t>Multilateral Instrument</w:t>
            </w:r>
            <w:r w:rsidR="00E21A70">
              <w:t xml:space="preserve"> ('MLI')</w:t>
            </w:r>
            <w:r>
              <w:t xml:space="preserve">, mandatory binding arbitration </w:t>
            </w:r>
            <w:r w:rsidR="00E21A70">
              <w:t>is increasingly</w:t>
            </w:r>
            <w:r>
              <w:t xml:space="preserve"> </w:t>
            </w:r>
            <w:r w:rsidR="00E21A70">
              <w:t>become a relevant consideration for taxpayers</w:t>
            </w:r>
            <w:r>
              <w:t xml:space="preserve">. The Young IFA representative of the Australian branch, Thomas </w:t>
            </w:r>
            <w:proofErr w:type="spellStart"/>
            <w:r>
              <w:t>Ickeringill</w:t>
            </w:r>
            <w:proofErr w:type="spellEnd"/>
            <w:r>
              <w:t xml:space="preserve">, will chair a panel discussion that explores the new world of international tax arbitration. </w:t>
            </w:r>
          </w:p>
        </w:tc>
      </w:tr>
      <w:tr w:rsidR="001E3B69" w14:paraId="3F96FD1B" w14:textId="77777777" w:rsidTr="00A22961">
        <w:tc>
          <w:tcPr>
            <w:tcW w:w="1413" w:type="dxa"/>
          </w:tcPr>
          <w:p w14:paraId="0B4D4E92" w14:textId="1A40F950" w:rsidR="007936E4" w:rsidRDefault="007936E4" w:rsidP="007936E4">
            <w:r>
              <w:t>Date and time</w:t>
            </w:r>
          </w:p>
        </w:tc>
        <w:tc>
          <w:tcPr>
            <w:tcW w:w="7597" w:type="dxa"/>
          </w:tcPr>
          <w:p w14:paraId="273386C8" w14:textId="7FFEC906" w:rsidR="00651A26" w:rsidRDefault="007936E4" w:rsidP="00FC2C55">
            <w:pPr>
              <w:rPr>
                <w:b/>
                <w:bCs/>
              </w:rPr>
            </w:pPr>
            <w:r w:rsidRPr="00651A26">
              <w:rPr>
                <w:b/>
                <w:bCs/>
              </w:rPr>
              <w:t xml:space="preserve">Thursday, </w:t>
            </w:r>
            <w:r w:rsidR="001E3B69">
              <w:rPr>
                <w:b/>
                <w:bCs/>
              </w:rPr>
              <w:t>3 September</w:t>
            </w:r>
            <w:r w:rsidRPr="00651A26">
              <w:rPr>
                <w:b/>
                <w:bCs/>
              </w:rPr>
              <w:t xml:space="preserve"> 2020</w:t>
            </w:r>
            <w:r w:rsidR="00FC2C55">
              <w:rPr>
                <w:b/>
                <w:bCs/>
              </w:rPr>
              <w:t xml:space="preserve">, </w:t>
            </w:r>
            <w:r w:rsidR="00A22961">
              <w:rPr>
                <w:b/>
                <w:bCs/>
              </w:rPr>
              <w:t>6pm AEST</w:t>
            </w:r>
          </w:p>
          <w:p w14:paraId="6C72EEC0" w14:textId="77777777" w:rsidR="00FC2C55" w:rsidRDefault="00FC2C55" w:rsidP="00FC2C55">
            <w:pPr>
              <w:rPr>
                <w:b/>
                <w:bCs/>
              </w:rPr>
            </w:pPr>
          </w:p>
          <w:p w14:paraId="2FCBFC33" w14:textId="677148B2" w:rsidR="00FC2C55" w:rsidRPr="00FC2C55" w:rsidRDefault="00FC2C55" w:rsidP="00FC2C55">
            <w:r w:rsidRPr="00FC2C55">
              <w:t>Live broadcast from Australia, New Zealand and the UK</w:t>
            </w:r>
          </w:p>
        </w:tc>
      </w:tr>
      <w:tr w:rsidR="00FC2C55" w14:paraId="6B04ACA7" w14:textId="77777777" w:rsidTr="00A22961">
        <w:tc>
          <w:tcPr>
            <w:tcW w:w="1413" w:type="dxa"/>
          </w:tcPr>
          <w:p w14:paraId="186A0208" w14:textId="301FD1DB" w:rsidR="00FC2C55" w:rsidRDefault="00FC2C55" w:rsidP="007936E4">
            <w:r>
              <w:t>RSVP</w:t>
            </w:r>
          </w:p>
        </w:tc>
        <w:tc>
          <w:tcPr>
            <w:tcW w:w="7597" w:type="dxa"/>
          </w:tcPr>
          <w:p w14:paraId="35DC99CA" w14:textId="7ED560B1" w:rsidR="00FC2C55" w:rsidRPr="00FC2C55" w:rsidRDefault="00FC2C55" w:rsidP="007936E4">
            <w:r>
              <w:t>Please confirm your attendance by emailing Sam Lacey on sam.lacey@allens.com.au.</w:t>
            </w:r>
          </w:p>
        </w:tc>
      </w:tr>
      <w:tr w:rsidR="00A22961" w14:paraId="21A3FBFF" w14:textId="77777777" w:rsidTr="00A22961">
        <w:tc>
          <w:tcPr>
            <w:tcW w:w="1413" w:type="dxa"/>
          </w:tcPr>
          <w:p w14:paraId="28223BDF" w14:textId="56FB8787" w:rsidR="00A22961" w:rsidRDefault="00A22961" w:rsidP="007936E4">
            <w:r>
              <w:t>Joining</w:t>
            </w:r>
          </w:p>
        </w:tc>
        <w:tc>
          <w:tcPr>
            <w:tcW w:w="7597" w:type="dxa"/>
          </w:tcPr>
          <w:p w14:paraId="6F553E6D" w14:textId="75CAAE69" w:rsidR="00A22961" w:rsidRPr="00E21A70" w:rsidRDefault="00A22961" w:rsidP="007936E4">
            <w:r w:rsidRPr="00E21A70">
              <w:t xml:space="preserve">This event will be hosted through </w:t>
            </w:r>
            <w:r w:rsidRPr="00E21A70">
              <w:rPr>
                <w:b/>
                <w:bCs/>
              </w:rPr>
              <w:t xml:space="preserve">Microsoft </w:t>
            </w:r>
            <w:r w:rsidR="00E21A70" w:rsidRPr="00E21A70">
              <w:rPr>
                <w:b/>
                <w:bCs/>
              </w:rPr>
              <w:t>Teams</w:t>
            </w:r>
            <w:r w:rsidR="00E21A70" w:rsidRPr="00E21A70">
              <w:t xml:space="preserve">. We recommend </w:t>
            </w:r>
            <w:r w:rsidR="00E21A70">
              <w:t xml:space="preserve">that </w:t>
            </w:r>
            <w:r w:rsidR="00E21A70" w:rsidRPr="00E21A70">
              <w:t>you log in five minutes prior to the event.</w:t>
            </w:r>
          </w:p>
          <w:p w14:paraId="697E60B8" w14:textId="77777777" w:rsidR="00E21A70" w:rsidRPr="00E21A70" w:rsidRDefault="00E21A70" w:rsidP="007936E4"/>
          <w:p w14:paraId="6155D1DE" w14:textId="0BCFC22C" w:rsidR="00E21A70" w:rsidRPr="00E21A70" w:rsidRDefault="00E21A70" w:rsidP="00E21A70">
            <w:pPr>
              <w:rPr>
                <w:lang w:eastAsia="en-US"/>
              </w:rPr>
            </w:pPr>
            <w:r w:rsidRPr="00E21A70">
              <w:rPr>
                <w:b/>
                <w:bCs/>
                <w:color w:val="000000"/>
                <w:lang w:eastAsia="en-AU"/>
              </w:rPr>
              <w:t xml:space="preserve">To join </w:t>
            </w:r>
            <w:r>
              <w:rPr>
                <w:b/>
                <w:bCs/>
                <w:color w:val="000000"/>
                <w:lang w:eastAsia="en-AU"/>
              </w:rPr>
              <w:t>via</w:t>
            </w:r>
            <w:r w:rsidRPr="00E21A70">
              <w:rPr>
                <w:b/>
                <w:bCs/>
                <w:color w:val="000000"/>
                <w:lang w:eastAsia="en-AU"/>
              </w:rPr>
              <w:t xml:space="preserve"> laptop</w:t>
            </w:r>
            <w:r>
              <w:rPr>
                <w:color w:val="000000"/>
                <w:lang w:eastAsia="en-AU"/>
              </w:rPr>
              <w:t xml:space="preserve">: </w:t>
            </w:r>
            <w:r w:rsidRPr="00E21A70">
              <w:rPr>
                <w:color w:val="000000"/>
                <w:lang w:eastAsia="en-AU"/>
              </w:rPr>
              <w:t>Please select </w:t>
            </w:r>
            <w:hyperlink r:id="rId5" w:history="1">
              <w:r w:rsidRPr="00E21A70">
                <w:rPr>
                  <w:rStyle w:val="Hyperlink"/>
                  <w:lang w:eastAsia="en-AU"/>
                </w:rPr>
                <w:t>join the meeting </w:t>
              </w:r>
            </w:hyperlink>
            <w:r w:rsidRPr="00E21A70">
              <w:rPr>
                <w:color w:val="000000"/>
                <w:lang w:eastAsia="en-AU"/>
              </w:rPr>
              <w:t>when ready. If you are not a Microsoft Teams user, you will be prompted to join the app which we recommend for the best experience. If you are having difficulty downloading the desktop app, there is an option to join in your browser. </w:t>
            </w:r>
          </w:p>
          <w:p w14:paraId="0B6CBBCA" w14:textId="77777777" w:rsidR="00E21A70" w:rsidRPr="00E21A70" w:rsidRDefault="00E21A70" w:rsidP="007936E4"/>
          <w:p w14:paraId="5FF29090" w14:textId="31CF4CC0" w:rsidR="00E21A70" w:rsidRPr="00E21A70" w:rsidRDefault="00E21A70" w:rsidP="00E21A70">
            <w:pPr>
              <w:shd w:val="clear" w:color="auto" w:fill="FFFFFF"/>
              <w:spacing w:before="150"/>
              <w:rPr>
                <w:lang w:eastAsia="en-AU"/>
              </w:rPr>
            </w:pPr>
            <w:r w:rsidRPr="00E21A70">
              <w:rPr>
                <w:b/>
                <w:bCs/>
                <w:color w:val="000000"/>
                <w:lang w:eastAsia="en-AU"/>
              </w:rPr>
              <w:t>To join via phone</w:t>
            </w:r>
            <w:r w:rsidRPr="00E21A70">
              <w:rPr>
                <w:color w:val="000000"/>
                <w:lang w:eastAsia="en-AU"/>
              </w:rPr>
              <w:t>: Please download th</w:t>
            </w:r>
            <w:r>
              <w:rPr>
                <w:color w:val="000000"/>
                <w:lang w:eastAsia="en-AU"/>
              </w:rPr>
              <w:t>e Microsoft Teams app from the App Store</w:t>
            </w:r>
            <w:r w:rsidRPr="00E21A70">
              <w:rPr>
                <w:color w:val="000000"/>
                <w:lang w:eastAsia="en-AU"/>
              </w:rPr>
              <w:t> before </w:t>
            </w:r>
            <w:hyperlink r:id="rId6" w:history="1">
              <w:r w:rsidRPr="00E21A70">
                <w:rPr>
                  <w:rStyle w:val="Hyperlink"/>
                  <w:lang w:eastAsia="en-AU"/>
                </w:rPr>
                <w:t>joining the meeting</w:t>
              </w:r>
            </w:hyperlink>
            <w:r>
              <w:rPr>
                <w:color w:val="000000"/>
                <w:u w:val="single"/>
                <w:lang w:eastAsia="en-AU"/>
              </w:rPr>
              <w:t>.</w:t>
            </w:r>
          </w:p>
          <w:p w14:paraId="445F9355" w14:textId="6ED676E1" w:rsidR="00E21A70" w:rsidRPr="00E21A70" w:rsidRDefault="00E21A70" w:rsidP="00E21A70">
            <w:pPr>
              <w:shd w:val="clear" w:color="auto" w:fill="FFFFFF"/>
              <w:spacing w:before="150"/>
              <w:rPr>
                <w:lang w:eastAsia="en-AU"/>
              </w:rPr>
            </w:pPr>
            <w:r w:rsidRPr="00E21A70">
              <w:rPr>
                <w:color w:val="000000"/>
                <w:lang w:eastAsia="en-AU"/>
              </w:rPr>
              <w:t xml:space="preserve">If you would like any assistance or are having difficulty joining the discussion, please contact Sam Lacey on 0450 122 561. </w:t>
            </w:r>
          </w:p>
        </w:tc>
      </w:tr>
      <w:tr w:rsidR="001E3B69" w14:paraId="4B7C9016" w14:textId="77777777" w:rsidTr="00A22961">
        <w:trPr>
          <w:trHeight w:val="1132"/>
        </w:trPr>
        <w:tc>
          <w:tcPr>
            <w:tcW w:w="1413" w:type="dxa"/>
          </w:tcPr>
          <w:p w14:paraId="055AAF22" w14:textId="60021AF3" w:rsidR="00651A26" w:rsidRDefault="001E3B69" w:rsidP="00651A26">
            <w:r>
              <w:rPr>
                <w:noProof/>
                <w:lang w:val="en-GB"/>
              </w:rPr>
              <w:drawing>
                <wp:anchor distT="0" distB="0" distL="114300" distR="114300" simplePos="0" relativeHeight="251658240" behindDoc="1" locked="0" layoutInCell="1" allowOverlap="1" wp14:anchorId="0584128D" wp14:editId="1583BA95">
                  <wp:simplePos x="0" y="0"/>
                  <wp:positionH relativeFrom="column">
                    <wp:posOffset>-71755</wp:posOffset>
                  </wp:positionH>
                  <wp:positionV relativeFrom="paragraph">
                    <wp:posOffset>-3037</wp:posOffset>
                  </wp:positionV>
                  <wp:extent cx="894522" cy="88201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7207" cy="88466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97" w:type="dxa"/>
          </w:tcPr>
          <w:p w14:paraId="222F1FD4" w14:textId="77777777" w:rsidR="00651A26" w:rsidRDefault="001E3B69" w:rsidP="00651A26">
            <w:pPr>
              <w:rPr>
                <w:b/>
                <w:bCs/>
              </w:rPr>
            </w:pPr>
            <w:r>
              <w:rPr>
                <w:b/>
                <w:bCs/>
              </w:rPr>
              <w:t>Martin Fry (</w:t>
            </w:r>
            <w:proofErr w:type="spellStart"/>
            <w:r>
              <w:rPr>
                <w:b/>
                <w:bCs/>
              </w:rPr>
              <w:t>Allens</w:t>
            </w:r>
            <w:proofErr w:type="spellEnd"/>
            <w:r>
              <w:rPr>
                <w:b/>
                <w:bCs/>
              </w:rPr>
              <w:t>, Partner)</w:t>
            </w:r>
          </w:p>
          <w:p w14:paraId="02FD5398" w14:textId="7E579E88" w:rsidR="001E3B69" w:rsidRPr="001E3B69" w:rsidRDefault="001E3B69" w:rsidP="00651A26">
            <w:r>
              <w:t>Martin is</w:t>
            </w:r>
            <w:r w:rsidR="00FD177F">
              <w:t xml:space="preserve"> the Practice Leader of Tax at </w:t>
            </w:r>
            <w:proofErr w:type="spellStart"/>
            <w:r w:rsidR="00FD177F">
              <w:t>Allens</w:t>
            </w:r>
            <w:proofErr w:type="spellEnd"/>
            <w:r w:rsidR="00FD177F">
              <w:t xml:space="preserve"> in Australia. He advises clients on a broad range of taxation issues, with </w:t>
            </w:r>
            <w:r>
              <w:t xml:space="preserve">particularly strong </w:t>
            </w:r>
            <w:r w:rsidR="00FD177F">
              <w:t xml:space="preserve">experience </w:t>
            </w:r>
            <w:r w:rsidR="00903227">
              <w:t xml:space="preserve">in transfer pricing disputes, including </w:t>
            </w:r>
            <w:r w:rsidR="00FD177F">
              <w:t xml:space="preserve">audits, mutual agreement procedure and litigation. </w:t>
            </w:r>
          </w:p>
        </w:tc>
      </w:tr>
      <w:tr w:rsidR="001E3B69" w14:paraId="63BE4573" w14:textId="77777777" w:rsidTr="00A22961">
        <w:trPr>
          <w:trHeight w:val="1279"/>
        </w:trPr>
        <w:tc>
          <w:tcPr>
            <w:tcW w:w="1413" w:type="dxa"/>
          </w:tcPr>
          <w:p w14:paraId="52FEA2F6" w14:textId="1FC33762" w:rsidR="00651A26" w:rsidRDefault="001E3B69" w:rsidP="00651A26">
            <w:r>
              <w:rPr>
                <w:noProof/>
                <w:lang w:val="en-GB"/>
              </w:rPr>
              <w:drawing>
                <wp:anchor distT="0" distB="0" distL="114300" distR="114300" simplePos="0" relativeHeight="251659264" behindDoc="1" locked="0" layoutInCell="1" allowOverlap="1" wp14:anchorId="243D1292" wp14:editId="3C831ADF">
                  <wp:simplePos x="0" y="0"/>
                  <wp:positionH relativeFrom="column">
                    <wp:posOffset>-71755</wp:posOffset>
                  </wp:positionH>
                  <wp:positionV relativeFrom="paragraph">
                    <wp:posOffset>-2457</wp:posOffset>
                  </wp:positionV>
                  <wp:extent cx="894080" cy="88259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310" cy="88973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97" w:type="dxa"/>
          </w:tcPr>
          <w:p w14:paraId="305A8F24" w14:textId="77777777" w:rsidR="00651A26" w:rsidRDefault="001E3B69" w:rsidP="00651A26">
            <w:pPr>
              <w:rPr>
                <w:b/>
                <w:bCs/>
              </w:rPr>
            </w:pPr>
            <w:r>
              <w:rPr>
                <w:b/>
                <w:bCs/>
              </w:rPr>
              <w:t xml:space="preserve">Sarah </w:t>
            </w:r>
            <w:proofErr w:type="spellStart"/>
            <w:r>
              <w:rPr>
                <w:b/>
                <w:bCs/>
              </w:rPr>
              <w:t>Blakelock</w:t>
            </w:r>
            <w:proofErr w:type="spellEnd"/>
            <w:r>
              <w:rPr>
                <w:b/>
                <w:bCs/>
              </w:rPr>
              <w:t xml:space="preserve"> (Slaughter and May, Consultant)</w:t>
            </w:r>
          </w:p>
          <w:p w14:paraId="0DBE9747" w14:textId="14C6E248" w:rsidR="00FD177F" w:rsidRPr="00FD177F" w:rsidRDefault="00FD177F" w:rsidP="00651A26">
            <w:r>
              <w:t xml:space="preserve">Sarah is an experienced tax adviser with a wealth of Australian and UK experience in domestic and international tax disputes and advisory. Sarah will be able to share her expertise, particularly in respect of arbitration under the EU Arbitration Convention. </w:t>
            </w:r>
          </w:p>
        </w:tc>
      </w:tr>
      <w:tr w:rsidR="001E3B69" w14:paraId="23DE1383" w14:textId="77777777" w:rsidTr="00A22961">
        <w:trPr>
          <w:trHeight w:val="1037"/>
        </w:trPr>
        <w:tc>
          <w:tcPr>
            <w:tcW w:w="1413" w:type="dxa"/>
          </w:tcPr>
          <w:p w14:paraId="353BBA49" w14:textId="3B608778" w:rsidR="001E3B69" w:rsidRDefault="00A22961" w:rsidP="00651A26">
            <w:r>
              <w:rPr>
                <w:noProof/>
                <w:lang w:val="en-GB"/>
              </w:rPr>
              <w:lastRenderedPageBreak/>
              <w:drawing>
                <wp:anchor distT="0" distB="0" distL="114300" distR="114300" simplePos="0" relativeHeight="251662336" behindDoc="1" locked="0" layoutInCell="1" allowOverlap="1" wp14:anchorId="28322841" wp14:editId="28DEE005">
                  <wp:simplePos x="0" y="0"/>
                  <wp:positionH relativeFrom="column">
                    <wp:posOffset>-71755</wp:posOffset>
                  </wp:positionH>
                  <wp:positionV relativeFrom="paragraph">
                    <wp:posOffset>-6488</wp:posOffset>
                  </wp:positionV>
                  <wp:extent cx="894080" cy="886570"/>
                  <wp:effectExtent l="0" t="0" r="127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8552" cy="8910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97" w:type="dxa"/>
          </w:tcPr>
          <w:p w14:paraId="320EF598" w14:textId="77777777" w:rsidR="001E3B69" w:rsidRDefault="001E3B69" w:rsidP="00651A26">
            <w:pPr>
              <w:rPr>
                <w:b/>
                <w:bCs/>
              </w:rPr>
            </w:pPr>
            <w:r>
              <w:rPr>
                <w:b/>
                <w:bCs/>
              </w:rPr>
              <w:t xml:space="preserve">Kriti </w:t>
            </w:r>
            <w:proofErr w:type="spellStart"/>
            <w:r>
              <w:rPr>
                <w:b/>
                <w:bCs/>
              </w:rPr>
              <w:t>Velji</w:t>
            </w:r>
            <w:proofErr w:type="spellEnd"/>
            <w:r>
              <w:rPr>
                <w:b/>
                <w:bCs/>
              </w:rPr>
              <w:t xml:space="preserve"> (Ernst &amp; Young, Associate Director)</w:t>
            </w:r>
          </w:p>
          <w:p w14:paraId="4F66552A" w14:textId="69F507BD" w:rsidR="00FD177F" w:rsidRPr="00FD177F" w:rsidRDefault="00FD177F" w:rsidP="00651A26">
            <w:r>
              <w:t xml:space="preserve">As </w:t>
            </w:r>
            <w:r w:rsidR="00F50431">
              <w:t xml:space="preserve">a </w:t>
            </w:r>
            <w:r>
              <w:t>former</w:t>
            </w:r>
            <w:r w:rsidR="00F50431">
              <w:t xml:space="preserve"> NZ</w:t>
            </w:r>
            <w:r>
              <w:t xml:space="preserve"> </w:t>
            </w:r>
            <w:r w:rsidR="00F50431">
              <w:t xml:space="preserve">Competent </w:t>
            </w:r>
            <w:r>
              <w:t xml:space="preserve">Authority, Kriti has </w:t>
            </w:r>
            <w:r w:rsidR="00F50431">
              <w:t>unrivalled</w:t>
            </w:r>
            <w:r>
              <w:t xml:space="preserve"> experience in negotiating </w:t>
            </w:r>
            <w:r w:rsidR="00F50431">
              <w:t>MAP outcomes with New Zealand's treaty partners. More recently, Kriti has worked as a UK and trans-Tasman adviser to taxpayers, assisting with APAs, MAPs and complex tax disputes.</w:t>
            </w:r>
          </w:p>
        </w:tc>
      </w:tr>
      <w:tr w:rsidR="001E3B69" w14:paraId="1C148E2B" w14:textId="77777777" w:rsidTr="00A22961">
        <w:trPr>
          <w:trHeight w:val="1196"/>
        </w:trPr>
        <w:tc>
          <w:tcPr>
            <w:tcW w:w="1413" w:type="dxa"/>
          </w:tcPr>
          <w:p w14:paraId="151F0130" w14:textId="5F57718E" w:rsidR="001E3B69" w:rsidRDefault="001E3B69" w:rsidP="00651A26">
            <w:r>
              <w:rPr>
                <w:noProof/>
                <w:lang w:val="en-GB"/>
              </w:rPr>
              <w:drawing>
                <wp:anchor distT="0" distB="0" distL="114300" distR="114300" simplePos="0" relativeHeight="251660288" behindDoc="1" locked="0" layoutInCell="1" allowOverlap="1" wp14:anchorId="5C6FD60E" wp14:editId="480A91A6">
                  <wp:simplePos x="0" y="0"/>
                  <wp:positionH relativeFrom="column">
                    <wp:posOffset>-64721</wp:posOffset>
                  </wp:positionH>
                  <wp:positionV relativeFrom="paragraph">
                    <wp:posOffset>-733</wp:posOffset>
                  </wp:positionV>
                  <wp:extent cx="889495" cy="879231"/>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3631" cy="893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97" w:type="dxa"/>
          </w:tcPr>
          <w:p w14:paraId="685DE1D2" w14:textId="77777777" w:rsidR="001E3B69" w:rsidRDefault="001E3B69" w:rsidP="00651A26">
            <w:pPr>
              <w:rPr>
                <w:b/>
                <w:bCs/>
              </w:rPr>
            </w:pPr>
            <w:r>
              <w:rPr>
                <w:b/>
                <w:bCs/>
              </w:rPr>
              <w:t xml:space="preserve">Simon </w:t>
            </w:r>
            <w:proofErr w:type="spellStart"/>
            <w:r>
              <w:rPr>
                <w:b/>
                <w:bCs/>
              </w:rPr>
              <w:t>Hellmers</w:t>
            </w:r>
            <w:proofErr w:type="spellEnd"/>
            <w:r>
              <w:rPr>
                <w:b/>
                <w:bCs/>
              </w:rPr>
              <w:t xml:space="preserve"> (ATO, Assistant Commissioner)</w:t>
            </w:r>
          </w:p>
          <w:p w14:paraId="617D3985" w14:textId="7EADDDC1" w:rsidR="00F50431" w:rsidRPr="00F50431" w:rsidRDefault="00F50431" w:rsidP="00651A26">
            <w:r>
              <w:t xml:space="preserve">Simon has many years of experience working with the ATO, with a particular focus on MLI implementation and management of the APA programme. More recently, Simon has </w:t>
            </w:r>
            <w:r w:rsidR="00A22961">
              <w:t>had</w:t>
            </w:r>
            <w:r>
              <w:t xml:space="preserve"> the responsibility of leading the negotiations of Australia's arbitration procedures</w:t>
            </w:r>
            <w:r w:rsidR="000D45C3">
              <w:t xml:space="preserve"> with</w:t>
            </w:r>
            <w:r>
              <w:t xml:space="preserve"> its treaty partners.</w:t>
            </w:r>
          </w:p>
        </w:tc>
      </w:tr>
      <w:tr w:rsidR="001E3B69" w14:paraId="0CC663A9" w14:textId="77777777" w:rsidTr="00A22961">
        <w:trPr>
          <w:trHeight w:val="1202"/>
        </w:trPr>
        <w:tc>
          <w:tcPr>
            <w:tcW w:w="1413" w:type="dxa"/>
          </w:tcPr>
          <w:p w14:paraId="5ED7330E" w14:textId="7E3BD6A9" w:rsidR="001E3B69" w:rsidRDefault="001E3B69" w:rsidP="00651A26">
            <w:pPr>
              <w:rPr>
                <w:noProof/>
              </w:rPr>
            </w:pPr>
            <w:r>
              <w:rPr>
                <w:noProof/>
                <w:lang w:val="en-GB"/>
              </w:rPr>
              <w:drawing>
                <wp:anchor distT="0" distB="0" distL="114300" distR="114300" simplePos="0" relativeHeight="251661312" behindDoc="1" locked="0" layoutInCell="1" allowOverlap="1" wp14:anchorId="5DCC3848" wp14:editId="085F6A87">
                  <wp:simplePos x="0" y="0"/>
                  <wp:positionH relativeFrom="column">
                    <wp:posOffset>-65968</wp:posOffset>
                  </wp:positionH>
                  <wp:positionV relativeFrom="paragraph">
                    <wp:posOffset>-538</wp:posOffset>
                  </wp:positionV>
                  <wp:extent cx="887730" cy="879676"/>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996" cy="88786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97" w:type="dxa"/>
          </w:tcPr>
          <w:p w14:paraId="146D241B" w14:textId="77777777" w:rsidR="001E3B69" w:rsidRDefault="001E3B69" w:rsidP="00651A26">
            <w:pPr>
              <w:rPr>
                <w:b/>
                <w:bCs/>
              </w:rPr>
            </w:pPr>
            <w:r>
              <w:rPr>
                <w:b/>
                <w:bCs/>
              </w:rPr>
              <w:t xml:space="preserve">Thomas </w:t>
            </w:r>
            <w:proofErr w:type="spellStart"/>
            <w:r>
              <w:rPr>
                <w:b/>
                <w:bCs/>
              </w:rPr>
              <w:t>Ickeringill</w:t>
            </w:r>
            <w:proofErr w:type="spellEnd"/>
            <w:r>
              <w:rPr>
                <w:b/>
                <w:bCs/>
              </w:rPr>
              <w:t xml:space="preserve"> (</w:t>
            </w:r>
            <w:proofErr w:type="spellStart"/>
            <w:r>
              <w:rPr>
                <w:b/>
                <w:bCs/>
              </w:rPr>
              <w:t>Allens</w:t>
            </w:r>
            <w:proofErr w:type="spellEnd"/>
            <w:r>
              <w:rPr>
                <w:b/>
                <w:bCs/>
              </w:rPr>
              <w:t>, Senior Associate)</w:t>
            </w:r>
          </w:p>
          <w:p w14:paraId="00CE7E0D" w14:textId="671D3432" w:rsidR="00903227" w:rsidRPr="00903227" w:rsidRDefault="00903227" w:rsidP="00FD177F">
            <w:r>
              <w:t xml:space="preserve">Thomas is the Australian Young IFA representative. </w:t>
            </w:r>
            <w:r w:rsidR="00FD177F">
              <w:t>He has a wealth of experience in the resources and technology sectors in both Australia and the UK, particularly in complex</w:t>
            </w:r>
            <w:r w:rsidR="000D45C3">
              <w:t xml:space="preserve"> international corporate tax and</w:t>
            </w:r>
            <w:r w:rsidR="00FD177F">
              <w:t xml:space="preserve"> transfer pricing disputes, advisory and planning.</w:t>
            </w:r>
            <w:r>
              <w:t xml:space="preserve"> </w:t>
            </w:r>
          </w:p>
        </w:tc>
      </w:tr>
    </w:tbl>
    <w:p w14:paraId="1BCD4921" w14:textId="27115BF9" w:rsidR="007936E4" w:rsidRDefault="007936E4" w:rsidP="001E3B69">
      <w:pPr>
        <w:jc w:val="center"/>
      </w:pPr>
      <w:r>
        <w:t xml:space="preserve"> </w:t>
      </w:r>
    </w:p>
    <w:sectPr w:rsidR="007936E4" w:rsidSect="00606E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26"/>
    <w:rsid w:val="000A7EF4"/>
    <w:rsid w:val="000D45C3"/>
    <w:rsid w:val="00195EB7"/>
    <w:rsid w:val="001E3B69"/>
    <w:rsid w:val="00210BA5"/>
    <w:rsid w:val="002E3EF0"/>
    <w:rsid w:val="002F14E4"/>
    <w:rsid w:val="00557770"/>
    <w:rsid w:val="00595465"/>
    <w:rsid w:val="005B1FF9"/>
    <w:rsid w:val="00606E20"/>
    <w:rsid w:val="00647297"/>
    <w:rsid w:val="00651A26"/>
    <w:rsid w:val="007936E4"/>
    <w:rsid w:val="007D4CF2"/>
    <w:rsid w:val="00903227"/>
    <w:rsid w:val="009C5F38"/>
    <w:rsid w:val="00A22961"/>
    <w:rsid w:val="00A7772B"/>
    <w:rsid w:val="00B6189F"/>
    <w:rsid w:val="00B86F91"/>
    <w:rsid w:val="00BC71BB"/>
    <w:rsid w:val="00CE57CF"/>
    <w:rsid w:val="00D02AC6"/>
    <w:rsid w:val="00E21A70"/>
    <w:rsid w:val="00E87E7C"/>
    <w:rsid w:val="00EE7657"/>
    <w:rsid w:val="00F50431"/>
    <w:rsid w:val="00F55326"/>
    <w:rsid w:val="00FC2C55"/>
    <w:rsid w:val="00FD17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48C8"/>
  <w15:chartTrackingRefBased/>
  <w15:docId w15:val="{914D026C-05B0-794D-9E07-EDC67E78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A2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21A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47576">
      <w:bodyDiv w:val="1"/>
      <w:marLeft w:val="0"/>
      <w:marRight w:val="0"/>
      <w:marTop w:val="0"/>
      <w:marBottom w:val="0"/>
      <w:divBdr>
        <w:top w:val="none" w:sz="0" w:space="0" w:color="auto"/>
        <w:left w:val="none" w:sz="0" w:space="0" w:color="auto"/>
        <w:bottom w:val="none" w:sz="0" w:space="0" w:color="auto"/>
        <w:right w:val="none" w:sz="0" w:space="0" w:color="auto"/>
      </w:divBdr>
    </w:div>
    <w:div w:id="410471918">
      <w:bodyDiv w:val="1"/>
      <w:marLeft w:val="0"/>
      <w:marRight w:val="0"/>
      <w:marTop w:val="0"/>
      <w:marBottom w:val="0"/>
      <w:divBdr>
        <w:top w:val="none" w:sz="0" w:space="0" w:color="auto"/>
        <w:left w:val="none" w:sz="0" w:space="0" w:color="auto"/>
        <w:bottom w:val="none" w:sz="0" w:space="0" w:color="auto"/>
        <w:right w:val="none" w:sz="0" w:space="0" w:color="auto"/>
      </w:divBdr>
    </w:div>
    <w:div w:id="1049259752">
      <w:bodyDiv w:val="1"/>
      <w:marLeft w:val="0"/>
      <w:marRight w:val="0"/>
      <w:marTop w:val="0"/>
      <w:marBottom w:val="0"/>
      <w:divBdr>
        <w:top w:val="none" w:sz="0" w:space="0" w:color="auto"/>
        <w:left w:val="none" w:sz="0" w:space="0" w:color="auto"/>
        <w:bottom w:val="none" w:sz="0" w:space="0" w:color="auto"/>
        <w:right w:val="none" w:sz="0" w:space="0" w:color="auto"/>
      </w:divBdr>
    </w:div>
    <w:div w:id="18240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NTJiODRiYjItNjM0Yy00MjJkLWI3MmQtMTUyMTRmY2RlNjE5%40thread.v2/0?context=%7b%22Tid%22%3a%22700538d4-594a-49e5-9b7c-1e7d5173c3ba%22%2c%22Oid%22%3a%2216f41cee-daaf-4456-90cb-cc2539c2bcf7%22%7d" TargetMode="External"/><Relationship Id="rId11" Type="http://schemas.openxmlformats.org/officeDocument/2006/relationships/image" Target="media/image6.png"/><Relationship Id="rId5" Type="http://schemas.openxmlformats.org/officeDocument/2006/relationships/hyperlink" Target="https://teams.microsoft.com/l/meetup-join/19%3ameeting_NTJiODRiYjItNjM0Yy00MjJkLWI3MmQtMTUyMTRmY2RlNjE5%40thread.v2/0?context=%7b%22Tid%22%3a%22700538d4-594a-49e5-9b7c-1e7d5173c3ba%22%2c%22Oid%22%3a%2216f41cee-daaf-4456-90cb-cc2539c2bcf7%22%7d"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Burggraaf</dc:creator>
  <cp:keywords/>
  <dc:description/>
  <cp:lastModifiedBy>Anita Burggraaf</cp:lastModifiedBy>
  <cp:revision>3</cp:revision>
  <dcterms:created xsi:type="dcterms:W3CDTF">2020-08-20T09:07:00Z</dcterms:created>
  <dcterms:modified xsi:type="dcterms:W3CDTF">2020-08-20T09:07:00Z</dcterms:modified>
</cp:coreProperties>
</file>